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 w:cstheme="majorEastAsia"/>
          <w:sz w:val="32"/>
          <w:szCs w:val="32"/>
        </w:rPr>
      </w:pPr>
      <w:r>
        <w:rPr>
          <w:rFonts w:hint="eastAsia" w:ascii="仿宋" w:hAnsi="仿宋" w:eastAsia="仿宋" w:cstheme="majorEastAsia"/>
          <w:sz w:val="32"/>
          <w:szCs w:val="32"/>
        </w:rPr>
        <w:t>陕水协【2021】</w:t>
      </w:r>
      <w:r>
        <w:rPr>
          <w:rFonts w:hint="eastAsia" w:ascii="仿宋" w:hAnsi="仿宋" w:eastAsia="仿宋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theme="majorEastAsia"/>
          <w:sz w:val="32"/>
          <w:szCs w:val="32"/>
        </w:rPr>
        <w:t>号</w:t>
      </w:r>
    </w:p>
    <w:p>
      <w:pPr>
        <w:jc w:val="center"/>
        <w:rPr>
          <w:rFonts w:hint="eastAsia" w:ascii="仿宋" w:hAnsi="仿宋" w:eastAsia="仿宋" w:cstheme="majorEastAsia"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关于2021年度绿色水司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进行</w:t>
      </w:r>
      <w:r>
        <w:rPr>
          <w:rFonts w:hint="eastAsia" w:ascii="宋体" w:hAnsi="宋体" w:eastAsia="宋体"/>
          <w:b/>
          <w:sz w:val="32"/>
          <w:szCs w:val="32"/>
        </w:rPr>
        <w:t>申报评选工作的通知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各会员单位：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根据《陕西省城镇供水排水协会绿色水司申报与评选办法》的规定，决定开展2021年度绿色水司评选活动，现将有关事项通知如下：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一、申报时间：本通知下发之日起至11月15日止。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二、申报范围：陕西省市（区）县级供水企业。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三、申报条件：加入陕西省城镇供水排水协会会员单位2年；按时交纳会费；按时上报《供水统计年鉴》。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四、申报要求：申报企业按照《绿色水司评选标准》要求进行自评，地市级供水企业自评85分以上，县级供水企业自评80分以上，可以向陕西省城镇供水排水协会申报；书面申报材料一式三份，材料要全面、简洁，每套材料按申报表、评选指标装订成册，各项指标支撑材料的种类、出处及统计口径要明确、统一，有关资料和表格填写要规范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五、评选依据：按照《陕西省城镇供水排水协会绿色水司申报与评选办法》和《绿色水司评选标准(暂行)》的相关规定。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六、评审时间：省水协将于12月份组织专家对申报单位按照规定程序进行评选。 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联系人；冯朝霞  电话87388371  手机18629109006</w:t>
      </w:r>
    </w:p>
    <w:p>
      <w:pPr>
        <w:ind w:firstLine="64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附件：绿色水司申报材料</w:t>
      </w:r>
    </w:p>
    <w:p>
      <w:pPr>
        <w:ind w:firstLine="640"/>
        <w:rPr>
          <w:rFonts w:hint="default" w:ascii="宋体" w:hAnsi="宋体" w:eastAsia="宋体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宋体" w:hAnsi="宋体" w:eastAsia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 2021年10月19日</w:t>
      </w:r>
    </w:p>
    <w:p>
      <w:pPr>
        <w:ind w:firstLine="624"/>
        <w:jc w:val="left"/>
        <w:rPr>
          <w:sz w:val="32"/>
          <w:szCs w:val="32"/>
        </w:rPr>
      </w:pPr>
    </w:p>
    <w:p>
      <w:pPr>
        <w:ind w:firstLine="624"/>
        <w:jc w:val="left"/>
        <w:rPr>
          <w:sz w:val="32"/>
          <w:szCs w:val="32"/>
        </w:rPr>
      </w:pPr>
    </w:p>
    <w:p>
      <w:pPr>
        <w:ind w:firstLine="624"/>
        <w:jc w:val="left"/>
        <w:rPr>
          <w:sz w:val="32"/>
          <w:szCs w:val="32"/>
        </w:rPr>
      </w:pPr>
    </w:p>
    <w:p>
      <w:pPr>
        <w:ind w:firstLine="624"/>
        <w:jc w:val="left"/>
        <w:rPr>
          <w:sz w:val="32"/>
          <w:szCs w:val="32"/>
        </w:rPr>
      </w:pPr>
    </w:p>
    <w:p>
      <w:pPr>
        <w:ind w:firstLine="624"/>
        <w:jc w:val="left"/>
        <w:rPr>
          <w:sz w:val="32"/>
          <w:szCs w:val="32"/>
        </w:rPr>
      </w:pPr>
    </w:p>
    <w:p>
      <w:pPr>
        <w:ind w:firstLine="624"/>
        <w:jc w:val="left"/>
        <w:rPr>
          <w:sz w:val="32"/>
          <w:szCs w:val="32"/>
        </w:rPr>
      </w:pPr>
    </w:p>
    <w:p>
      <w:pPr>
        <w:ind w:firstLine="624"/>
        <w:jc w:val="left"/>
        <w:rPr>
          <w:sz w:val="32"/>
          <w:szCs w:val="32"/>
        </w:rPr>
      </w:pPr>
    </w:p>
    <w:p>
      <w:pPr>
        <w:ind w:firstLine="624"/>
        <w:jc w:val="left"/>
        <w:rPr>
          <w:sz w:val="32"/>
          <w:szCs w:val="32"/>
        </w:rPr>
      </w:pPr>
    </w:p>
    <w:p>
      <w:pPr>
        <w:ind w:firstLine="624"/>
        <w:jc w:val="left"/>
        <w:rPr>
          <w:sz w:val="32"/>
          <w:szCs w:val="32"/>
        </w:rPr>
      </w:pP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申报材料：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1.绿色水司申报表（加盖企业印章）；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2.供水企业概况，包括水源（地表、地下）供水情况、管网建设、企业管理提升、智慧水司建设情况等；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3.绿色水司创建工作组织与实施方案；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4.绿色</w:t>
      </w:r>
      <w:r>
        <w:rPr>
          <w:rFonts w:hint="eastAsia" w:ascii="宋体" w:hAnsi="宋体" w:eastAsia="宋体" w:cs="宋体"/>
          <w:sz w:val="32"/>
          <w:szCs w:val="32"/>
        </w:rPr>
        <w:t>水司创建工作总结；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5.《绿色水司评选标准》各项指标自评结果及有关证明材料；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6.近两年的《供水统计年鉴》等有关内容复印件；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7.其他能够体现创建绿色水司工作成效和特色的资料。</w:t>
      </w:r>
    </w:p>
    <w:p>
      <w:pPr>
        <w:ind w:firstLine="624"/>
        <w:jc w:val="left"/>
        <w:rPr>
          <w:sz w:val="32"/>
          <w:szCs w:val="32"/>
        </w:rPr>
      </w:pPr>
    </w:p>
    <w:p>
      <w:pPr>
        <w:ind w:firstLine="624"/>
        <w:jc w:val="left"/>
        <w:rPr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bookmarkStart w:id="0" w:name="_GoBack"/>
      <w:bookmarkEnd w:id="0"/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陕西省城镇供水排水协会绿色水司申报表</w:t>
      </w:r>
    </w:p>
    <w:tbl>
      <w:tblPr>
        <w:tblStyle w:val="6"/>
        <w:tblW w:w="96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017"/>
        <w:gridCol w:w="1895"/>
        <w:gridCol w:w="1202"/>
        <w:gridCol w:w="431"/>
        <w:gridCol w:w="1017"/>
        <w:gridCol w:w="2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70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    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址</w:t>
            </w:r>
          </w:p>
        </w:tc>
        <w:tc>
          <w:tcPr>
            <w:tcW w:w="70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联系人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手机号码</w:t>
            </w:r>
          </w:p>
        </w:tc>
        <w:tc>
          <w:tcPr>
            <w:tcW w:w="25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职务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E-mail</w:t>
            </w:r>
          </w:p>
        </w:tc>
        <w:tc>
          <w:tcPr>
            <w:tcW w:w="25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6" w:hRule="atLeast"/>
        </w:trPr>
        <w:tc>
          <w:tcPr>
            <w:tcW w:w="840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自评情况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自评得分</w:t>
            </w: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自评负责人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自评日期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840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                                    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                                  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  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位（盖章）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                              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                                    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  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  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251" w:hRule="atLeast"/>
        </w:trPr>
        <w:tc>
          <w:tcPr>
            <w:tcW w:w="840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评选意见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55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                        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陕西省城镇供水排水协会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55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                                  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  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  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8"/>
                <w:szCs w:val="28"/>
              </w:rPr>
              <w:t>日</w:t>
            </w:r>
          </w:p>
        </w:tc>
      </w:tr>
    </w:tbl>
    <w:p>
      <w:pPr>
        <w:ind w:firstLine="624"/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绿色水司评选标准（暂行）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tbl>
      <w:tblPr>
        <w:tblStyle w:val="7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106"/>
        <w:gridCol w:w="295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考核项目</w:t>
            </w:r>
          </w:p>
        </w:tc>
        <w:tc>
          <w:tcPr>
            <w:tcW w:w="210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考核内容</w:t>
            </w:r>
          </w:p>
        </w:tc>
        <w:tc>
          <w:tcPr>
            <w:tcW w:w="2958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考核标准</w:t>
            </w:r>
          </w:p>
        </w:tc>
        <w:tc>
          <w:tcPr>
            <w:tcW w:w="1424" w:type="dxa"/>
          </w:tcPr>
          <w:p>
            <w:pPr>
              <w:spacing w:line="40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国家排放标准</w:t>
            </w: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符合《污水排入城镇下水道水质标准》（GB/T31962-2015）要求。</w:t>
            </w: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不符合《污水排入城镇下水道水质标准》（GB/T31962-2015）要求。</w:t>
            </w:r>
          </w:p>
        </w:tc>
        <w:tc>
          <w:tcPr>
            <w:tcW w:w="1424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一票否决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7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创建绿色水司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机构规范</w:t>
            </w: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积极响应“创建绿色水司 共建美丽陕西”倡议书活动成立创建“绿色水司”工作组织机构，有实施方案且职责明确。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未成立创建绿色水司工作组织机构，无实施方案且职责不明确。</w:t>
            </w:r>
          </w:p>
        </w:tc>
        <w:tc>
          <w:tcPr>
            <w:tcW w:w="1424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一票否决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7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无安全责任事故</w:t>
            </w: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创建期间无安全责任事故。</w:t>
            </w: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创建期间发生安全责任事故。</w:t>
            </w:r>
          </w:p>
        </w:tc>
        <w:tc>
          <w:tcPr>
            <w:tcW w:w="1424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一票否决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76" w:type="dxa"/>
            <w:vMerge w:val="restart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节能减排与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淘汰高耗能设备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10分</w:t>
            </w: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建立节能减排管理制度有实施计划，落实责任主体；实施技术革新，积极推广节能减排技术与设备；实施办公自动化，提倡无纸化办公。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立节能减排管理制度有实施计划，落实责任主体得2分；采用节能新技术和设备得2分；实施办公自动化，提倡无纸化办公得1分。无制度无实施计划，未落实责任主体扣2分；未采用节能新技术扣2分；未实施无纸化办公扣1分。</w:t>
            </w:r>
          </w:p>
        </w:tc>
        <w:tc>
          <w:tcPr>
            <w:tcW w:w="1424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876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建立健全高耗能设备台账；建立淘汰高耗能设备机制；开展节能宣传与培训。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建立健全高耗能设备台账得2分；按照国家要求淘汰高耗能设备得2分；开展节能宣传与培训得1分。无台账扣2分；未淘汰高耗能设备扣2分；未开展节能宣传与培训扣1分。</w:t>
            </w:r>
          </w:p>
        </w:tc>
        <w:tc>
          <w:tcPr>
            <w:tcW w:w="1424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考核项目</w:t>
            </w:r>
          </w:p>
        </w:tc>
        <w:tc>
          <w:tcPr>
            <w:tcW w:w="210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考核内容</w:t>
            </w:r>
          </w:p>
        </w:tc>
        <w:tc>
          <w:tcPr>
            <w:tcW w:w="2958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考核标准</w:t>
            </w:r>
          </w:p>
        </w:tc>
        <w:tc>
          <w:tcPr>
            <w:tcW w:w="1424" w:type="dxa"/>
          </w:tcPr>
          <w:p>
            <w:pPr>
              <w:spacing w:line="40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76" w:type="dxa"/>
            <w:vMerge w:val="restart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设备管理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35分</w:t>
            </w: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按照《城镇供水厂运行维护及安全技术规程》（CJJ58）完善供水设施设备日常保养定期维护和大修理三级维护检修制度。</w:t>
            </w: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供水设施设备日常保养定期维护和大修理三级维护检修制度完善，落实到位得6分，每缺一项扣2分。</w:t>
            </w:r>
          </w:p>
        </w:tc>
        <w:tc>
          <w:tcPr>
            <w:tcW w:w="142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76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供水设备设施运行正常，出现问题能及时处理。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供水设备设施运行正常出现问题及时处理得6分，出现问题未及时处理的，每发现一次扣3分。</w:t>
            </w:r>
          </w:p>
        </w:tc>
        <w:tc>
          <w:tcPr>
            <w:tcW w:w="142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76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设备管理台账，报表等技术资料齐全。</w:t>
            </w: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设备管理台账，报表等技术资料齐全得6分，缺失一项扣3分。</w:t>
            </w:r>
          </w:p>
        </w:tc>
        <w:tc>
          <w:tcPr>
            <w:tcW w:w="142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76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设备完好率在98%以上。</w:t>
            </w: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达到计划指标得6分。</w:t>
            </w:r>
          </w:p>
        </w:tc>
        <w:tc>
          <w:tcPr>
            <w:tcW w:w="142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76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净水设施和设备无故障且运行正常，出现问题能及时处理，有巡检记录。</w:t>
            </w: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净水设施和设备无故障且运行正常，有巡检记录得6分，出现问题未及时处理的，每发现一次扣2分；无巡检记录扣2分。</w:t>
            </w:r>
          </w:p>
        </w:tc>
        <w:tc>
          <w:tcPr>
            <w:tcW w:w="142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876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设施设备进行定期保养和清洁，并做好记录。</w:t>
            </w:r>
          </w:p>
        </w:tc>
        <w:tc>
          <w:tcPr>
            <w:tcW w:w="2958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设施设备进行定期保养和清洁得5分；每发现一处未保养和清洁扣2分；无保养记录扣3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分。</w:t>
            </w:r>
          </w:p>
        </w:tc>
        <w:tc>
          <w:tcPr>
            <w:tcW w:w="1424" w:type="dxa"/>
          </w:tcPr>
          <w:p>
            <w:pPr>
              <w:spacing w:line="400" w:lineRule="exact"/>
              <w:ind w:firstLine="525" w:firstLineChars="250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ind w:firstLine="525" w:firstLineChars="250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ind w:firstLine="525" w:firstLineChars="2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76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配备专职捡漏队伍及探测设备，实施分区计量管控系统。</w:t>
            </w:r>
          </w:p>
        </w:tc>
        <w:tc>
          <w:tcPr>
            <w:tcW w:w="2958" w:type="dxa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配备专职捡漏队伍及探测设备加1分；实施分区计量管控系统加2分。</w:t>
            </w:r>
          </w:p>
        </w:tc>
        <w:tc>
          <w:tcPr>
            <w:tcW w:w="1424" w:type="dxa"/>
          </w:tcPr>
          <w:p>
            <w:pPr>
              <w:spacing w:line="400" w:lineRule="exact"/>
              <w:ind w:firstLine="525" w:firstLineChars="25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87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城市供水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管网漏损率</w:t>
            </w:r>
          </w:p>
          <w:p>
            <w:pPr>
              <w:spacing w:line="400" w:lineRule="exact"/>
              <w:ind w:firstLine="525" w:firstLineChars="2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10分</w:t>
            </w: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低于CJJ92《城市供水管网漏损控制及评定标准》规定修正值指标。</w:t>
            </w: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（管网漏损率—标准值）≤0得10分；0＜（管网漏损率—标准值）≤6%，得4分；6%＜（管网漏损率—标准值）＜8%得2分；（管网漏损率—标准值）≥8%不得分。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142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考核项目</w:t>
            </w:r>
          </w:p>
        </w:tc>
        <w:tc>
          <w:tcPr>
            <w:tcW w:w="210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考核内容</w:t>
            </w:r>
          </w:p>
        </w:tc>
        <w:tc>
          <w:tcPr>
            <w:tcW w:w="2958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考核标准</w:t>
            </w:r>
          </w:p>
        </w:tc>
        <w:tc>
          <w:tcPr>
            <w:tcW w:w="142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876" w:type="dxa"/>
            <w:vMerge w:val="restart"/>
          </w:tcPr>
          <w:p>
            <w:pPr>
              <w:spacing w:line="40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05" w:firstLineChars="50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水质管理</w:t>
            </w:r>
          </w:p>
          <w:p>
            <w:pPr>
              <w:tabs>
                <w:tab w:val="left" w:pos="285"/>
              </w:tabs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35分</w:t>
            </w: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建立企业、水厂、班组分级检测制度。</w:t>
            </w: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建立企业、水厂、班组分级检测制度得6分，每缺一项扣2分。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</w:trPr>
        <w:tc>
          <w:tcPr>
            <w:tcW w:w="1876" w:type="dxa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水厂应具备10项日常检测指标检测能力，规模达到30万立方米/日及以上的供水企业应具备《生活饮用水卫生标准》（GB5749-2006）要求的42项常规指标的检测能力；检测人员业务熟练。</w:t>
            </w: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水厂应具备10项日常检测指标检测能力，规模达到30万立方米/日及以上的供水企业应具备《生活饮用水卫生标准》（GB5749-2006）要求的42项常规指标的检测能力，得8分，每缺1项指标扣1分；根据现场问询或演示情况考核检测人员的业务熟练程度，业务不熟练的扣2分。</w:t>
            </w:r>
          </w:p>
        </w:tc>
        <w:tc>
          <w:tcPr>
            <w:tcW w:w="142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876" w:type="dxa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依据标准规范要求的检测指标和频率对原水、出厂水、管网水、管网末稍水进行检测，检查检测记录规范；供水水质达到《城市供水水质标准》（GJ/T206）的合格率要求。对原水的浑浊度、PH在线检测；对出厂水的浑浊度、PH、消毒剂余量在线检测。</w:t>
            </w: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依据标准规范要求的检测指标和频率对原水、出厂水、管网水、管网末稍水进行检测检验，得4分，每缺一项扣1分；检查检测记录规范（包括检测指标、方法、频率、数据、记录等），每发现一项不规范的扣1分；供水水质达到《城市供水水质标准》（GJ/T206）的合格率要求的，得4分；对原水的浑浊度、PH在线检测得1分；对出厂水的浑浊度、PH、消毒剂余量在线检测得1分。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1876" w:type="dxa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按规定如期向当地主管部门报告；按照水质信息公布制度定期公布水质信息。</w:t>
            </w: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按规定如期向当地主管部门报告得9分，未报告或报告不真实的扣5分；报告不及时，不完整的扣3分；未按水质信息公布制度定期公布水质信息的，扣4分。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考核项目</w:t>
            </w:r>
          </w:p>
        </w:tc>
        <w:tc>
          <w:tcPr>
            <w:tcW w:w="210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考核内容</w:t>
            </w:r>
          </w:p>
        </w:tc>
        <w:tc>
          <w:tcPr>
            <w:tcW w:w="2958" w:type="dxa"/>
          </w:tcPr>
          <w:p>
            <w:pPr>
              <w:spacing w:line="400" w:lineRule="exact"/>
              <w:ind w:firstLine="63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考核标准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0" w:hRule="atLeast"/>
        </w:trPr>
        <w:tc>
          <w:tcPr>
            <w:tcW w:w="1876" w:type="dxa"/>
            <w:vMerge w:val="restart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环境面貌与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绿化管理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10分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生产环境干净整洁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有制度、有记录</w:t>
            </w: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厂区、井圈、井间道路环境卫生有专人负责，定期清洁，有检查、有记录得1分；宣传牌、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告示牌、警示牌完好、醒目无松动倾斜、字迹模糊等现象，井圈大门、围墙（铁丝网）、井房、管道护坡、道路、井间道路等设施完好，无乱搭乱建、种植等现象得1分；厂区、办公区环境卫生有工作责任制和管理制度，卫生有专人负责，各项记录齐全得2分；生产区域坚持卫生保洁工作，确保设备良好的运行环境；围墙无明显破损和污渍，围墙围挡立面无广告宣传画面和标语，地面、院落、走廊干净整齐，无杂物、痰渍，设施无损坏得2分。</w:t>
            </w:r>
          </w:p>
        </w:tc>
        <w:tc>
          <w:tcPr>
            <w:tcW w:w="1424" w:type="dxa"/>
          </w:tcPr>
          <w:p>
            <w:pPr>
              <w:spacing w:line="40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firstLine="525" w:firstLineChars="2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876" w:type="dxa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绿化工作有计划有安排，各种记录齐全</w:t>
            </w:r>
          </w:p>
        </w:tc>
        <w:tc>
          <w:tcPr>
            <w:tcW w:w="2958" w:type="dxa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全年的绿化整治有方案、有计划、有安排得2分；所管理的花木草生长茂盛无病虫害，无枯枝黄叶，无垃圾，及时修剪，外形美观，有专人负责各种记录齐全得2分。</w:t>
            </w:r>
          </w:p>
        </w:tc>
        <w:tc>
          <w:tcPr>
            <w:tcW w:w="1424" w:type="dxa"/>
          </w:tcPr>
          <w:p>
            <w:pPr>
              <w:spacing w:line="40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</w:tr>
    </w:tbl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6"/>
          <w:szCs w:val="3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53"/>
    <w:rsid w:val="001D008D"/>
    <w:rsid w:val="002F30D3"/>
    <w:rsid w:val="0030676E"/>
    <w:rsid w:val="004074A5"/>
    <w:rsid w:val="009533A7"/>
    <w:rsid w:val="00992C53"/>
    <w:rsid w:val="00EA7F17"/>
    <w:rsid w:val="00EF7A4B"/>
    <w:rsid w:val="00F12B73"/>
    <w:rsid w:val="00FA54B8"/>
    <w:rsid w:val="099A0217"/>
    <w:rsid w:val="0C876C92"/>
    <w:rsid w:val="112B182A"/>
    <w:rsid w:val="23A14AB0"/>
    <w:rsid w:val="23DE19D8"/>
    <w:rsid w:val="399B1DCD"/>
    <w:rsid w:val="6E40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6A0E82-8A3C-492F-9848-5CAC0F0127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470</Words>
  <Characters>2684</Characters>
  <Lines>22</Lines>
  <Paragraphs>6</Paragraphs>
  <TotalTime>2</TotalTime>
  <ScaleCrop>false</ScaleCrop>
  <LinksUpToDate>false</LinksUpToDate>
  <CharactersWithSpaces>3148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2021-10-20T07:22:00Z</dcterms:created>
  <dc:creator>Administrator</dc:creator>
  <cp:lastModifiedBy>丁虫虫</cp:lastModifiedBy>
  <cp:lastPrinted>2021-10-21T07:54:39Z</cp:lastPrinted>
  <dcterms:modified xsi:type="dcterms:W3CDTF">2021-10-21T08:00:50Z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041A4A86AFFF4B15B108D25CF8A7CCB8</vt:lpwstr>
  </property>
</Properties>
</file>